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CE" w:rsidRPr="00C6622B" w:rsidRDefault="00B671CE" w:rsidP="00B671CE">
      <w:pPr>
        <w:spacing w:line="360" w:lineRule="auto"/>
        <w:jc w:val="center"/>
        <w:rPr>
          <w:rFonts w:ascii="Times New Roman" w:hAnsi="Times New Roman" w:cs="Times New Roman"/>
          <w:b/>
          <w:sz w:val="24"/>
          <w:szCs w:val="24"/>
        </w:rPr>
      </w:pPr>
      <w:r w:rsidRPr="00C6622B">
        <w:rPr>
          <w:rFonts w:ascii="Times New Roman" w:hAnsi="Times New Roman" w:cs="Times New Roman"/>
          <w:b/>
          <w:sz w:val="24"/>
          <w:szCs w:val="24"/>
        </w:rPr>
        <w:t>Factores de riesgo situación mundial y nacional</w:t>
      </w:r>
    </w:p>
    <w:p w:rsidR="00B671CE" w:rsidRPr="00C6622B" w:rsidRDefault="00B671CE" w:rsidP="00B671CE">
      <w:pPr>
        <w:spacing w:line="360" w:lineRule="auto"/>
        <w:jc w:val="both"/>
        <w:rPr>
          <w:rFonts w:ascii="Times New Roman" w:hAnsi="Times New Roman" w:cs="Times New Roman"/>
          <w:sz w:val="24"/>
          <w:szCs w:val="24"/>
        </w:rPr>
      </w:pPr>
      <w:r w:rsidRPr="00C6622B">
        <w:rPr>
          <w:rFonts w:ascii="Times New Roman" w:hAnsi="Times New Roman" w:cs="Times New Roman"/>
          <w:sz w:val="24"/>
          <w:szCs w:val="24"/>
        </w:rPr>
        <w:t>Las enfermedades crónicas no transmisibles son la principal causa de muerte  (80%) en la mayoría de las regiones del mundo (OMS, 2010), entre las cuales se encuentran las enfermedades cardio vasculares. Por otro lado en el Panorama de Salud, 2013, Informe OECD sobre Chile y comparación con los países miembros,  se da a conocer la situación de Chile, ubicándolo entre los países con más prevalencia de factores de riesgo cardiovascular, y con tendencias hacia el aumento. Además, en nuestro país, los factores de riesgo cardio vascular son hoy en día la principal causa de muerte (MINSAL,2011)</w:t>
      </w:r>
    </w:p>
    <w:p w:rsidR="00B671CE" w:rsidRPr="00B671CE" w:rsidRDefault="00B671CE" w:rsidP="00B671CE">
      <w:pPr>
        <w:spacing w:line="360" w:lineRule="auto"/>
        <w:jc w:val="both"/>
        <w:rPr>
          <w:rFonts w:ascii="Times New Roman" w:hAnsi="Times New Roman" w:cs="Times New Roman"/>
          <w:sz w:val="24"/>
          <w:szCs w:val="24"/>
        </w:rPr>
      </w:pPr>
      <w:r w:rsidRPr="00C6622B">
        <w:rPr>
          <w:rFonts w:ascii="Times New Roman" w:hAnsi="Times New Roman" w:cs="Times New Roman"/>
          <w:sz w:val="24"/>
          <w:szCs w:val="24"/>
        </w:rPr>
        <w:t xml:space="preserve">Dentro de los grupos etarios que conforman la población nacional, el sector del adulto mayor presenta una alta prevalencia de factores de riesgo cardiovascular, algunos de los cuales aumentan entrando en esta etapa de la vida. </w:t>
      </w:r>
      <w:r>
        <w:rPr>
          <w:rFonts w:ascii="Times New Roman" w:hAnsi="Times New Roman" w:cs="Times New Roman"/>
          <w:sz w:val="24"/>
          <w:szCs w:val="24"/>
        </w:rPr>
        <w:t>E</w:t>
      </w:r>
      <w:r w:rsidRPr="00C6622B">
        <w:rPr>
          <w:rFonts w:ascii="Times New Roman" w:hAnsi="Times New Roman" w:cs="Times New Roman"/>
          <w:sz w:val="24"/>
          <w:szCs w:val="24"/>
        </w:rPr>
        <w:t xml:space="preserve">n  la Encuesta Nacional de Salud 2009-2010 el sobrepeso  alcanza el segundo valor más alto entre los adultos mayores con un 42,6 %,  el mismo lugar en el caso de la obesidad con un 30,9%. La hipertensión el factor más </w:t>
      </w:r>
      <w:r w:rsidRPr="00B671CE">
        <w:rPr>
          <w:rFonts w:ascii="Times New Roman" w:hAnsi="Times New Roman" w:cs="Times New Roman"/>
          <w:sz w:val="24"/>
          <w:szCs w:val="24"/>
        </w:rPr>
        <w:t>prevalente  en los adultos mayores con un 74,6% siendo este grupo etario por lejos el más afectado. En cuanto a la presión arterial se afirma que “conforme aumenta la edad, mayor es la prevalencia de presión sistólica superior a 115 mmHg, llegando a un  95,5% en el grupo de 65 años y más. Respecto del consumo de sal, la ENS 2009-2010 arrojó que el 98,9% de los chilenos consumen más de 5 gramos de sal diarios, consumo mayor a la dosis máxima recomendada por la OMS” (MINSAL,2011).</w:t>
      </w:r>
    </w:p>
    <w:p w:rsidR="00B671CE" w:rsidRDefault="00B671CE" w:rsidP="00B671CE">
      <w:pPr>
        <w:spacing w:line="360" w:lineRule="auto"/>
        <w:jc w:val="both"/>
        <w:rPr>
          <w:rFonts w:ascii="Times New Roman" w:hAnsi="Times New Roman" w:cs="Times New Roman"/>
          <w:sz w:val="24"/>
          <w:szCs w:val="24"/>
        </w:rPr>
      </w:pPr>
      <w:r w:rsidRPr="00B671CE">
        <w:rPr>
          <w:rFonts w:ascii="Times New Roman" w:hAnsi="Times New Roman" w:cs="Times New Roman"/>
          <w:sz w:val="24"/>
          <w:szCs w:val="24"/>
        </w:rPr>
        <w:t>La diabetes también es mas prevalente en esta población alcanzando un 25,8%. En cuanto a la actividad física, el 96,2% es inactivo</w:t>
      </w:r>
      <w:r w:rsidRPr="00C6622B">
        <w:rPr>
          <w:rFonts w:ascii="Times New Roman" w:hAnsi="Times New Roman" w:cs="Times New Roman"/>
          <w:sz w:val="24"/>
          <w:szCs w:val="24"/>
        </w:rPr>
        <w:t xml:space="preserve"> físicamente, lo cual apunta principalmente a lo señalado a continuación “se estima que un 6 % de las muertes mundiales por enfermedades no transmisibles  son atribuidas a la inactividad física” (OMS, 2010), situación que se trata de abordar y revertir. </w:t>
      </w:r>
      <w:r>
        <w:rPr>
          <w:rFonts w:ascii="Times New Roman" w:hAnsi="Times New Roman" w:cs="Times New Roman"/>
          <w:sz w:val="24"/>
          <w:szCs w:val="24"/>
        </w:rPr>
        <w:t xml:space="preserve"> </w:t>
      </w:r>
      <w:r w:rsidRPr="00C6622B">
        <w:rPr>
          <w:rFonts w:ascii="Times New Roman" w:hAnsi="Times New Roman" w:cs="Times New Roman"/>
          <w:sz w:val="24"/>
          <w:szCs w:val="24"/>
        </w:rPr>
        <w:t>Por tanto se afirma que “La ECV constituye un gran problema de salud pública, siendo una de las principales causas de discapacidad y deterioro de calidad de vida, sobretodo e</w:t>
      </w:r>
      <w:r>
        <w:rPr>
          <w:rFonts w:ascii="Times New Roman" w:hAnsi="Times New Roman" w:cs="Times New Roman"/>
          <w:sz w:val="24"/>
          <w:szCs w:val="24"/>
        </w:rPr>
        <w:t>n el adulto mayor” (MINSAL, 2011</w:t>
      </w:r>
      <w:r w:rsidRPr="00C6622B">
        <w:rPr>
          <w:rFonts w:ascii="Times New Roman" w:hAnsi="Times New Roman" w:cs="Times New Roman"/>
          <w:sz w:val="24"/>
          <w:szCs w:val="24"/>
        </w:rPr>
        <w:t>).</w:t>
      </w:r>
    </w:p>
    <w:p w:rsidR="00B671CE" w:rsidRDefault="00B671CE" w:rsidP="00B671C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Karen Romina Toro Parra</w:t>
      </w:r>
    </w:p>
    <w:p w:rsidR="00B671CE" w:rsidRPr="00C6622B" w:rsidRDefault="00B671CE" w:rsidP="00B671C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Profesora de educación física, Licenciada en educación </w:t>
      </w:r>
    </w:p>
    <w:p w:rsidR="0072574E" w:rsidRDefault="0072574E"/>
    <w:sectPr w:rsidR="0072574E" w:rsidSect="007257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671CE"/>
    <w:rsid w:val="0072574E"/>
    <w:rsid w:val="00B671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347</Words>
  <Characters>1913</Characters>
  <Application>Microsoft Office Word</Application>
  <DocSecurity>0</DocSecurity>
  <Lines>15</Lines>
  <Paragraphs>4</Paragraph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2014-06-21T12:28:00Z</dcterms:created>
  <dcterms:modified xsi:type="dcterms:W3CDTF">2014-06-21T12:40:00Z</dcterms:modified>
</cp:coreProperties>
</file>